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A9E" w:rsidRPr="009B4A9E" w:rsidRDefault="009B4A9E" w:rsidP="009C1A89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B4A9E">
        <w:rPr>
          <w:rFonts w:ascii="Times New Roman" w:hAnsi="Times New Roman" w:cs="Times New Roman"/>
          <w:b/>
          <w:color w:val="FF0000"/>
          <w:sz w:val="28"/>
          <w:szCs w:val="28"/>
        </w:rPr>
        <w:t>Обзор прессы за неделю 18-22.03.2019 год.</w:t>
      </w:r>
    </w:p>
    <w:p w:rsidR="00C40B1F" w:rsidRPr="009B4A9E" w:rsidRDefault="00C40B1F" w:rsidP="009C1A89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B4A9E">
        <w:rPr>
          <w:rFonts w:ascii="Times New Roman" w:hAnsi="Times New Roman" w:cs="Times New Roman"/>
          <w:b/>
          <w:color w:val="0070C0"/>
          <w:sz w:val="28"/>
          <w:szCs w:val="28"/>
        </w:rPr>
        <w:t>Зубрилина</w:t>
      </w:r>
      <w:r w:rsidR="009B4A9E" w:rsidRPr="009B4A9E">
        <w:rPr>
          <w:rFonts w:ascii="Times New Roman" w:hAnsi="Times New Roman" w:cs="Times New Roman"/>
          <w:b/>
          <w:color w:val="0070C0"/>
          <w:sz w:val="28"/>
          <w:szCs w:val="28"/>
        </w:rPr>
        <w:t>,</w:t>
      </w:r>
      <w:r w:rsidRPr="009B4A9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М. С.</w:t>
      </w:r>
      <w:r w:rsidR="009B4A9E" w:rsidRPr="009B4A9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Обучение информатике в педагогическом вузе с учетом иноязычия студентов [Текст] / М.С. Зубрилина, А.А. Зубрилин // Информатика и образование. – 2019. - №1. – С.13-21.</w:t>
      </w:r>
    </w:p>
    <w:p w:rsidR="009C1A89" w:rsidRDefault="009C1A89" w:rsidP="009C1A89">
      <w:pPr>
        <w:spacing w:after="0" w:line="36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18F9CDA" wp14:editId="0D813B9A">
            <wp:simplePos x="0" y="0"/>
            <wp:positionH relativeFrom="margin">
              <wp:align>left</wp:align>
            </wp:positionH>
            <wp:positionV relativeFrom="page">
              <wp:posOffset>2092325</wp:posOffset>
            </wp:positionV>
            <wp:extent cx="1490400" cy="2055600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fo_1_201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0400" cy="205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0B1F" w:rsidRPr="009B4A9E">
        <w:rPr>
          <w:rFonts w:ascii="Times New Roman" w:hAnsi="Times New Roman" w:cs="Times New Roman"/>
          <w:sz w:val="28"/>
          <w:szCs w:val="28"/>
        </w:rPr>
        <w:t xml:space="preserve">Появление все большего числа студентов-иностранцев в вузах России указывает на значимость российской системы высшего образования в мировом сообществе. В то же время на повестку дня выступила новая проблема — как качественно обучить пребывающих из-за рубежа иностранцев с учетом их разной подготовленности во владении русским языком и разной предметной подготовки. </w:t>
      </w:r>
    </w:p>
    <w:p w:rsidR="00C40B1F" w:rsidRPr="009B4A9E" w:rsidRDefault="00C40B1F" w:rsidP="009C1A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A9E">
        <w:rPr>
          <w:rFonts w:ascii="Times New Roman" w:hAnsi="Times New Roman" w:cs="Times New Roman"/>
          <w:sz w:val="28"/>
          <w:szCs w:val="28"/>
        </w:rPr>
        <w:t>В статье описаны проблемы, с которыми сталкиваются студенты-иностранцы при обучении информатике в педагогическом вузе. Экспериментальной площадкой исследования выступили совмещенные профили физико-математического факультета МГПИ им. М. Е. Евсевьева, один из которых — «Информатика». На примере дисциплины «Теоретические основы информатики» показаны способы обучения информатике. Приводятся примеры заданий, включая задания для самостоятельной работы, для обучения иностранных студентов информатике в указанном вузе.</w:t>
      </w:r>
    </w:p>
    <w:p w:rsidR="00607B9B" w:rsidRDefault="00607B9B" w:rsidP="009C1A89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40B1F" w:rsidRPr="009B4A9E" w:rsidRDefault="00C40B1F" w:rsidP="009C1A89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B4A9E">
        <w:rPr>
          <w:rFonts w:ascii="Times New Roman" w:hAnsi="Times New Roman" w:cs="Times New Roman"/>
          <w:b/>
          <w:color w:val="0070C0"/>
          <w:sz w:val="28"/>
          <w:szCs w:val="28"/>
        </w:rPr>
        <w:t>Босова</w:t>
      </w:r>
      <w:r w:rsidR="009B4A9E" w:rsidRPr="009B4A9E">
        <w:rPr>
          <w:rFonts w:ascii="Times New Roman" w:hAnsi="Times New Roman" w:cs="Times New Roman"/>
          <w:b/>
          <w:color w:val="0070C0"/>
          <w:sz w:val="28"/>
          <w:szCs w:val="28"/>
        </w:rPr>
        <w:t>,</w:t>
      </w:r>
      <w:r w:rsidRPr="009B4A9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Л. Л.</w:t>
      </w:r>
      <w:r w:rsidR="009B4A9E" w:rsidRPr="009B4A9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Современные тенденции развития школьной информатики в России и за рубежом [Текст] / Л.Л. Босова // Информатика и образование. – 2019. - №1. – С.22-32.</w:t>
      </w:r>
    </w:p>
    <w:p w:rsidR="00C40B1F" w:rsidRPr="009B4A9E" w:rsidRDefault="00C40B1F" w:rsidP="009C1A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A9E">
        <w:rPr>
          <w:rFonts w:ascii="Times New Roman" w:hAnsi="Times New Roman" w:cs="Times New Roman"/>
          <w:sz w:val="28"/>
          <w:szCs w:val="28"/>
        </w:rPr>
        <w:t xml:space="preserve">Второе десятилетие XXI века во всем мире характеризуется пристальным интересом широких кругов общественности к школьным программам по информатике. Это связано как с естественным для детей интересом ко всему цифровому в современном мире и позицией родителей, считающих, что информатика имеет большое значение для будущей карьеры их детей, так и с давлением профессиональных ассоциаций, бизнеса, </w:t>
      </w:r>
      <w:r w:rsidRPr="009B4A9E">
        <w:rPr>
          <w:rFonts w:ascii="Times New Roman" w:hAnsi="Times New Roman" w:cs="Times New Roman"/>
          <w:sz w:val="28"/>
          <w:szCs w:val="28"/>
        </w:rPr>
        <w:lastRenderedPageBreak/>
        <w:t>университетов, обеспокоенных статусом и содержанием школьных курсов информатики. В работе рассмотрены исторические аспекты становления и развития отечественного школьного курса информатики, современные подходы к постановке его целей и отбору содержания. Цель исследования заключается в выявлении и сопоставлении основных тенденций развития школьной информатики в России и в мире, в определении на этой основе возможностей развития методической системы обучения информатике. Результаты исследования позволили сделать вывод, что Россия была и до сих пор остается одним из мировых лидеров в области общего образования по информатике: в наших школах начиная с 1985 года по настоящее время имеет место обязательное изучение информатики, в содержании которой существенное место занимает фундаментальная составляющая. Выявлены три ключевые тенденции в развитии школьной информатики за рубежом: усиление фундаментальности, обязательность, непрерывность. Отмечено, что за рубежом приоритетное внимание уделяется использованию потенциала информатики для развития и формирования вычислительного (компьютерного) мышления младших школьников. Введение обязательного обучения информатике на ранних ступенях общего образования определено как стратегическое направление развития российского курса школьной информатики.</w:t>
      </w:r>
    </w:p>
    <w:p w:rsidR="00607B9B" w:rsidRDefault="00607B9B" w:rsidP="009C1A89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40B1F" w:rsidRPr="00800B79" w:rsidRDefault="00C40B1F" w:rsidP="009C1A89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00B79">
        <w:rPr>
          <w:rFonts w:ascii="Times New Roman" w:hAnsi="Times New Roman" w:cs="Times New Roman"/>
          <w:b/>
          <w:color w:val="0070C0"/>
          <w:sz w:val="28"/>
          <w:szCs w:val="28"/>
        </w:rPr>
        <w:t>Сиразетдинов</w:t>
      </w:r>
      <w:r w:rsidR="009B4A9E" w:rsidRPr="00800B7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, Р.Т. Новые технологии образования на основе малоразмерного </w:t>
      </w:r>
      <w:r w:rsidR="00800B79" w:rsidRPr="00800B79">
        <w:rPr>
          <w:rFonts w:ascii="Times New Roman" w:hAnsi="Times New Roman" w:cs="Times New Roman"/>
          <w:b/>
          <w:color w:val="0070C0"/>
          <w:sz w:val="28"/>
          <w:szCs w:val="28"/>
        </w:rPr>
        <w:t>антропоморфного робота РОМА [Текст]</w:t>
      </w:r>
      <w:r w:rsidRPr="00800B7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800B79" w:rsidRPr="00800B79">
        <w:rPr>
          <w:rFonts w:ascii="Times New Roman" w:hAnsi="Times New Roman" w:cs="Times New Roman"/>
          <w:b/>
          <w:color w:val="0070C0"/>
          <w:sz w:val="28"/>
          <w:szCs w:val="28"/>
        </w:rPr>
        <w:t>/ Р.Т. Сиразетдинов, А.Ю. Фадеев</w:t>
      </w:r>
      <w:r w:rsidRPr="00800B7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, </w:t>
      </w:r>
      <w:r w:rsidR="00800B79" w:rsidRPr="00800B79">
        <w:rPr>
          <w:rFonts w:ascii="Times New Roman" w:hAnsi="Times New Roman" w:cs="Times New Roman"/>
          <w:b/>
          <w:color w:val="0070C0"/>
          <w:sz w:val="28"/>
          <w:szCs w:val="28"/>
        </w:rPr>
        <w:t>Р.Э. Хисамутдинов // Информатика и образование. – 2019. - №1. – С.33-39.</w:t>
      </w:r>
    </w:p>
    <w:p w:rsidR="00C40B1F" w:rsidRPr="009B4A9E" w:rsidRDefault="00C40B1F" w:rsidP="009C1A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A9E">
        <w:rPr>
          <w:rFonts w:ascii="Times New Roman" w:hAnsi="Times New Roman" w:cs="Times New Roman"/>
          <w:sz w:val="28"/>
          <w:szCs w:val="28"/>
        </w:rPr>
        <w:t>Статья посвящена вопросам применения антропоморфного робота РОМА в образовательном процессе. Рассмотрены тенденции и основные угрозы, связанные с лавинообразным развитием робототехники и тотальной роботизации общества, и вытекающие отсюда задачи, стоящие перед педагогами. Представлен малоразмерный робот РОМА, разработанный в Казанском федеральном университете, описаны его характеристики. Проведено сравнение с характеристиками зарубежных аналогов, откуда видно, что представленный робот занимает достойное место в своей нише. Рассмотрены различные варианты использования робота РОМА в учебном процессе — от младших классов школы до старших курсов вузов. Приведены учебные дисциплины и отдельные темы, по которым применение робота может дать существенный толчок в понимании и освоении предмета. С одной стороны, это связано с интересом обучающихся к роботу как таковому, а с другой стороны, робот позволяет физически продемонстрировать те или иные абстрактные понятия, эффект выполнения алгоритмов и пр. Робот может быть использован в школе на уроках технологии. Он может оказаться незаменимым при изучении программирования разного уровня, 3D-моделирования, теории автоматического управления, элементов искусственного интеллекта, распознавания образов и в ряде других курсов. В настоящее время идет процесс разработки методического обеспечения обучения для различных дисциплин.</w:t>
      </w:r>
    </w:p>
    <w:p w:rsidR="00607B9B" w:rsidRDefault="00607B9B" w:rsidP="009C1A89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40B1F" w:rsidRPr="00800B79" w:rsidRDefault="00C40B1F" w:rsidP="009C1A89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00B79">
        <w:rPr>
          <w:rFonts w:ascii="Times New Roman" w:hAnsi="Times New Roman" w:cs="Times New Roman"/>
          <w:b/>
          <w:color w:val="0070C0"/>
          <w:sz w:val="28"/>
          <w:szCs w:val="28"/>
        </w:rPr>
        <w:t>Андрюшкова</w:t>
      </w:r>
      <w:r w:rsidR="00800B79" w:rsidRPr="00800B79">
        <w:rPr>
          <w:rFonts w:ascii="Times New Roman" w:hAnsi="Times New Roman" w:cs="Times New Roman"/>
          <w:b/>
          <w:color w:val="0070C0"/>
          <w:sz w:val="28"/>
          <w:szCs w:val="28"/>
        </w:rPr>
        <w:t>,</w:t>
      </w:r>
      <w:r w:rsidRPr="00800B7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О. В.</w:t>
      </w:r>
      <w:r w:rsidR="00800B79" w:rsidRPr="00800B7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Расчет негэнтропии и весовых коэффициентов многокритериальных оценок на основе нечетких множеств [Текст] / О.В. Андрюшкова</w:t>
      </w:r>
      <w:r w:rsidRPr="00800B79">
        <w:rPr>
          <w:rFonts w:ascii="Times New Roman" w:hAnsi="Times New Roman" w:cs="Times New Roman"/>
          <w:b/>
          <w:color w:val="0070C0"/>
          <w:sz w:val="28"/>
          <w:szCs w:val="28"/>
        </w:rPr>
        <w:t>,</w:t>
      </w:r>
      <w:r w:rsidR="00800B79" w:rsidRPr="00800B7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С.Г.</w:t>
      </w:r>
      <w:r w:rsidRPr="00800B7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Григорьев </w:t>
      </w:r>
      <w:r w:rsidR="00800B79" w:rsidRPr="00800B79">
        <w:rPr>
          <w:rFonts w:ascii="Times New Roman" w:hAnsi="Times New Roman" w:cs="Times New Roman"/>
          <w:b/>
          <w:color w:val="0070C0"/>
          <w:sz w:val="28"/>
          <w:szCs w:val="28"/>
        </w:rPr>
        <w:t>// Информатика и образование. – 2019. - №1. – С.40-49.</w:t>
      </w:r>
    </w:p>
    <w:p w:rsidR="00C40B1F" w:rsidRPr="009B4A9E" w:rsidRDefault="00C40B1F" w:rsidP="009C1A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A9E">
        <w:rPr>
          <w:rFonts w:ascii="Times New Roman" w:hAnsi="Times New Roman" w:cs="Times New Roman"/>
          <w:sz w:val="28"/>
          <w:szCs w:val="28"/>
        </w:rPr>
        <w:t>Настоящая статья является логическим продолжением материала, опубликованного в журнале «Информатика и образование» № 6-2018. Авторами рассматриваются вопросы прогнозирования результатов обучения на основании расчета негэнтропии, которую предлагается рассматривать в качестве интегрального информационного показателя, характеризующего качество обученности студентов. Работа может быть разделена на три этапа и опирается на построение иерархической структуры критериальной системы качества. На первом этапе была разработана анкета для опроса экспертов-преподавателей, в которой необходимо было отметить с точки зрения важности критерии первого и второго уровней, оказывающие влияние на процесс эмергентного обучения. На втором этапе с использованием метода экспертного нормирования был обработан массив экспертных оценок, представляющих собой пример нечеткого множества. В результате были получены весовые коэффициенты по критериям первого и второго уровней. На третьем этапе была проведена дихотомическая оценка критериев третьего уровня и рассчитаны интегральные значения негэнтропии для трех направлений обучения и для модельной ситуации. Предлагаемые алгоритмы могут быть использованы как для оценки качества уже разработанных онлайн-курсов, продуктов или учебных процессов с их применением, так и для прогнозирования результатов обучения на основе экспертного оценивания.</w:t>
      </w:r>
    </w:p>
    <w:p w:rsidR="00607B9B" w:rsidRDefault="00607B9B" w:rsidP="009C1A89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40B1F" w:rsidRPr="009C1A89" w:rsidRDefault="00C40B1F" w:rsidP="009C1A89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C1A89">
        <w:rPr>
          <w:rFonts w:ascii="Times New Roman" w:hAnsi="Times New Roman" w:cs="Times New Roman"/>
          <w:b/>
          <w:color w:val="0070C0"/>
          <w:sz w:val="28"/>
          <w:szCs w:val="28"/>
        </w:rPr>
        <w:t>Сафуанов</w:t>
      </w:r>
      <w:r w:rsidR="00800B79" w:rsidRPr="009C1A89">
        <w:rPr>
          <w:rFonts w:ascii="Times New Roman" w:hAnsi="Times New Roman" w:cs="Times New Roman"/>
          <w:b/>
          <w:color w:val="0070C0"/>
          <w:sz w:val="28"/>
          <w:szCs w:val="28"/>
        </w:rPr>
        <w:t>,</w:t>
      </w:r>
      <w:r w:rsidRPr="009C1A8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И. С.</w:t>
      </w:r>
      <w:r w:rsidR="00800B79" w:rsidRPr="009C1A8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Варианты применения систем компьютерной алгебры в обучении углубленным разделам математики</w:t>
      </w:r>
      <w:r w:rsidR="009C1A89" w:rsidRPr="009C1A8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(на англ. языке)</w:t>
      </w:r>
      <w:r w:rsidR="00800B79" w:rsidRPr="009C1A8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[Текст] / И.С. Сафуанов</w:t>
      </w:r>
      <w:r w:rsidRPr="009C1A8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, </w:t>
      </w:r>
      <w:r w:rsidR="00800B79" w:rsidRPr="009C1A8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В.А. </w:t>
      </w:r>
      <w:r w:rsidRPr="009C1A8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Чугунов </w:t>
      </w:r>
      <w:r w:rsidR="00800B79" w:rsidRPr="009C1A89">
        <w:rPr>
          <w:rFonts w:ascii="Times New Roman" w:hAnsi="Times New Roman" w:cs="Times New Roman"/>
          <w:b/>
          <w:color w:val="0070C0"/>
          <w:sz w:val="28"/>
          <w:szCs w:val="28"/>
        </w:rPr>
        <w:t>// Информатика и образование. – 2019. - №1. – С.50-55.</w:t>
      </w:r>
    </w:p>
    <w:p w:rsidR="00607B9B" w:rsidRPr="00607B9B" w:rsidRDefault="00C40B1F" w:rsidP="00607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A9E">
        <w:rPr>
          <w:rFonts w:ascii="Times New Roman" w:hAnsi="Times New Roman" w:cs="Times New Roman"/>
          <w:sz w:val="28"/>
          <w:szCs w:val="28"/>
        </w:rPr>
        <w:t>В статье рассматриваются возможные пути использования компьютеров для обучения сложным разделам математики, традиционно относящимся к программам высшей школы: элементам математического анализа, элементам теории чисел и абстрактной алгебры. Использование компьютерных технологий может помочь также осуществить такие методы, как генетический подход и использование различных способов представления изучаемых объектов в образовании. Согласно культурно-исторической теории Л. С. Выготского, компьютерные технологии можно рассматривать как инструмент для формирования понятий в процессе обучения. Наиболее приспособлены для обучения высшей математике такие системы компьютерной алгебры, как Maple и Mathematica, а также различные системы динамической геометрии. Показаны возможности программы Geogebra для работы с функциями на начальных этапах вузовских курсов математического анализа, в частности, для работы с понятиями пределов и производных функций.</w:t>
      </w:r>
    </w:p>
    <w:p w:rsidR="00C40B1F" w:rsidRPr="009C1A89" w:rsidRDefault="00C40B1F" w:rsidP="009C1A89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C1A89">
        <w:rPr>
          <w:rFonts w:ascii="Times New Roman" w:hAnsi="Times New Roman" w:cs="Times New Roman"/>
          <w:b/>
          <w:color w:val="0070C0"/>
          <w:sz w:val="28"/>
          <w:szCs w:val="28"/>
        </w:rPr>
        <w:t>Китайгородский</w:t>
      </w:r>
      <w:r w:rsidR="009C1A89" w:rsidRPr="009C1A89">
        <w:rPr>
          <w:rFonts w:ascii="Times New Roman" w:hAnsi="Times New Roman" w:cs="Times New Roman"/>
          <w:b/>
          <w:color w:val="0070C0"/>
          <w:sz w:val="28"/>
          <w:szCs w:val="28"/>
        </w:rPr>
        <w:t>, М.</w:t>
      </w:r>
      <w:r w:rsidRPr="009C1A89">
        <w:rPr>
          <w:rFonts w:ascii="Times New Roman" w:hAnsi="Times New Roman" w:cs="Times New Roman"/>
          <w:b/>
          <w:color w:val="0070C0"/>
          <w:sz w:val="28"/>
          <w:szCs w:val="28"/>
        </w:rPr>
        <w:t>Д.</w:t>
      </w:r>
      <w:r w:rsidR="009C1A89" w:rsidRPr="009C1A8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Цифровые технологии в содержании магистерских образовательных программ подготовки учителей технологии [Текст] /</w:t>
      </w:r>
      <w:r w:rsidR="009C1A89" w:rsidRPr="009C1A89">
        <w:rPr>
          <w:b/>
          <w:color w:val="0070C0"/>
        </w:rPr>
        <w:t xml:space="preserve"> </w:t>
      </w:r>
      <w:r w:rsidR="009C1A89" w:rsidRPr="009C1A89">
        <w:rPr>
          <w:rFonts w:ascii="Times New Roman" w:hAnsi="Times New Roman" w:cs="Times New Roman"/>
          <w:b/>
          <w:color w:val="0070C0"/>
          <w:sz w:val="28"/>
          <w:szCs w:val="28"/>
        </w:rPr>
        <w:t>М.Д.</w:t>
      </w:r>
      <w:r w:rsidR="009C1A89" w:rsidRPr="009C1A89">
        <w:rPr>
          <w:b/>
          <w:color w:val="0070C0"/>
        </w:rPr>
        <w:t xml:space="preserve">  </w:t>
      </w:r>
      <w:r w:rsidR="009C1A89" w:rsidRPr="009C1A89">
        <w:rPr>
          <w:rFonts w:ascii="Times New Roman" w:hAnsi="Times New Roman" w:cs="Times New Roman"/>
          <w:b/>
          <w:color w:val="0070C0"/>
          <w:sz w:val="28"/>
          <w:szCs w:val="28"/>
        </w:rPr>
        <w:t>Китайгородский // Информатика и о</w:t>
      </w:r>
      <w:r w:rsidR="009C1A89">
        <w:rPr>
          <w:rFonts w:ascii="Times New Roman" w:hAnsi="Times New Roman" w:cs="Times New Roman"/>
          <w:b/>
          <w:color w:val="0070C0"/>
          <w:sz w:val="28"/>
          <w:szCs w:val="28"/>
        </w:rPr>
        <w:t>бразование. – 2019. - №1. – С.56-64</w:t>
      </w:r>
      <w:r w:rsidR="009C1A89" w:rsidRPr="009C1A89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</w:p>
    <w:p w:rsidR="00C40B1F" w:rsidRPr="009B4A9E" w:rsidRDefault="00C40B1F" w:rsidP="009C1A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A9E">
        <w:rPr>
          <w:rFonts w:ascii="Times New Roman" w:hAnsi="Times New Roman" w:cs="Times New Roman"/>
          <w:sz w:val="28"/>
          <w:szCs w:val="28"/>
        </w:rPr>
        <w:t>В статье представлен анализ влияния современных цифровых технологий на содержание новых магистерских программ педагогического образования подготовки учителей технологии. В настоящее время развитие современных промышленных технологий в мире происходит в парадигме Индустрии 4.0, которая выделяет такие фундаментальные технологические направления, как робототехника, моделирование, большие данные, промышленный интернет вещей, облачные вычисления, аддитивные технологии, дополненная реальность и др. Данные направления необходимо включать в содержание технологического образования в школе, а это, в свою очередь, требует высококвалифицированных учителей, также владеющих основами рассматриваемых технологий и способных формировать у учащихся компетенции в области современных цифровых технологий. Одной из возможностей получить учителю компетенции в области современных технологий, в том числе цифровых технологий, является обучение в магистратуре. Магистерские программы более оперативно могут откликаться на изменения образовательных рынков, включая новое содержание и новые образовательные технологии. В статье проанализированы более 30 программ российских вузов, в дисциплинах которых представлены такие современные индустриальные технологии, как робототехника, интернет вещей, 3D-моделирование, большие данные, облачные вычисления, виртуальная и дополненная реальность, компьютерное моделирование и др.</w:t>
      </w:r>
    </w:p>
    <w:p w:rsidR="00607B9B" w:rsidRDefault="00607B9B" w:rsidP="000756F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07B9B" w:rsidRDefault="00607B9B" w:rsidP="000756F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07B9B" w:rsidRDefault="00607B9B" w:rsidP="000756F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07B9B" w:rsidRDefault="00607B9B" w:rsidP="000756F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9A0115" w:rsidRDefault="000756F0" w:rsidP="000756F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756F0">
        <w:rPr>
          <w:rFonts w:ascii="Times New Roman" w:hAnsi="Times New Roman" w:cs="Times New Roman"/>
          <w:b/>
          <w:color w:val="0070C0"/>
          <w:sz w:val="28"/>
          <w:szCs w:val="28"/>
        </w:rPr>
        <w:t>Семеркин, С. Флаг WorldSkills за Полярным кругом!</w:t>
      </w:r>
      <w:r w:rsidRPr="000756F0">
        <w:rPr>
          <w:rFonts w:ascii="Times New Roman" w:hAnsi="Times New Roman" w:cs="Times New Roman"/>
          <w:b/>
          <w:color w:val="0070C0"/>
        </w:rPr>
        <w:t xml:space="preserve"> </w:t>
      </w:r>
      <w:r w:rsidRPr="000756F0">
        <w:rPr>
          <w:rFonts w:ascii="Times New Roman" w:hAnsi="Times New Roman" w:cs="Times New Roman"/>
          <w:b/>
          <w:color w:val="0070C0"/>
          <w:sz w:val="28"/>
          <w:szCs w:val="28"/>
        </w:rPr>
        <w:t>[Текст] /</w:t>
      </w:r>
      <w:r w:rsidRPr="000756F0">
        <w:rPr>
          <w:rFonts w:ascii="Times New Roman" w:hAnsi="Times New Roman" w:cs="Times New Roman"/>
          <w:b/>
          <w:color w:val="0070C0"/>
        </w:rPr>
        <w:t xml:space="preserve"> </w:t>
      </w:r>
      <w:r w:rsidRPr="000756F0">
        <w:rPr>
          <w:rFonts w:ascii="Times New Roman" w:hAnsi="Times New Roman" w:cs="Times New Roman"/>
          <w:b/>
          <w:color w:val="0070C0"/>
          <w:sz w:val="28"/>
          <w:szCs w:val="28"/>
        </w:rPr>
        <w:t>С. Семеркин // Республика Татарстан. – 2019. - №40. – 21 марта.</w:t>
      </w:r>
    </w:p>
    <w:p w:rsidR="000756F0" w:rsidRDefault="00607B9B" w:rsidP="00607B9B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0" wp14:anchorId="2D2BA789" wp14:editId="7EC6FE85">
            <wp:simplePos x="0" y="0"/>
            <wp:positionH relativeFrom="margin">
              <wp:align>left</wp:align>
            </wp:positionH>
            <wp:positionV relativeFrom="page">
              <wp:posOffset>1488053</wp:posOffset>
            </wp:positionV>
            <wp:extent cx="2675467" cy="1762935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lag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5467" cy="176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56F0" w:rsidRPr="000756F0">
        <w:rPr>
          <w:rFonts w:ascii="Times New Roman" w:hAnsi="Times New Roman" w:cs="Times New Roman"/>
          <w:sz w:val="28"/>
          <w:szCs w:val="28"/>
        </w:rPr>
        <w:t xml:space="preserve">Объехавший полмира и побывавший даже в космосе флаг WorldSkills на этой неделе пересёк Северный полярный круг.   Это произошло в Салехарде – единственном в России городе, </w:t>
      </w:r>
      <w:bookmarkStart w:id="0" w:name="_GoBack"/>
      <w:bookmarkEnd w:id="0"/>
      <w:r w:rsidR="000756F0" w:rsidRPr="000756F0">
        <w:rPr>
          <w:rFonts w:ascii="Times New Roman" w:hAnsi="Times New Roman" w:cs="Times New Roman"/>
          <w:sz w:val="28"/>
          <w:szCs w:val="28"/>
        </w:rPr>
        <w:t xml:space="preserve">расположенном на 66-й параллели. </w:t>
      </w:r>
    </w:p>
    <w:p w:rsidR="000756F0" w:rsidRPr="000756F0" w:rsidRDefault="000756F0" w:rsidP="000756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6F0">
        <w:rPr>
          <w:rFonts w:ascii="Times New Roman" w:hAnsi="Times New Roman" w:cs="Times New Roman"/>
          <w:sz w:val="28"/>
          <w:szCs w:val="28"/>
        </w:rPr>
        <w:t>Участники эстафеты сфотографировались на фоне памятника мамонту (на фото). Гигантский мамонт – одна из необычных достопримечательностей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административного центра Ямало-</w:t>
      </w:r>
      <w:r w:rsidRPr="000756F0">
        <w:rPr>
          <w:rFonts w:ascii="Times New Roman" w:hAnsi="Times New Roman" w:cs="Times New Roman"/>
          <w:sz w:val="28"/>
          <w:szCs w:val="28"/>
        </w:rPr>
        <w:t>Ненецкого автономного округа. Кроме этого, флаг встретили на Арктическом образовательном форуме, Фестивале арктических профессий. Его приветствовали победители и п</w:t>
      </w:r>
      <w:r>
        <w:rPr>
          <w:rFonts w:ascii="Times New Roman" w:hAnsi="Times New Roman" w:cs="Times New Roman"/>
          <w:sz w:val="28"/>
          <w:szCs w:val="28"/>
        </w:rPr>
        <w:t xml:space="preserve">ризёры регионального чемпионата </w:t>
      </w:r>
      <w:r w:rsidRPr="000756F0">
        <w:rPr>
          <w:rFonts w:ascii="Times New Roman" w:hAnsi="Times New Roman" w:cs="Times New Roman"/>
          <w:sz w:val="28"/>
          <w:szCs w:val="28"/>
        </w:rPr>
        <w:t>WorldSkills. Впереди у эстафеты остановки ещё в четырёх регионах России. Напомним: финиширует она в Казани на открытии чемпионата мира по профессиональному мастерству в августе.</w:t>
      </w:r>
    </w:p>
    <w:p w:rsidR="00607B9B" w:rsidRPr="00607B9B" w:rsidRDefault="00607B9B" w:rsidP="00607B9B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Акифьева, В. «</w:t>
      </w:r>
      <w:r w:rsidRPr="00607B9B">
        <w:rPr>
          <w:rFonts w:ascii="Times New Roman" w:hAnsi="Times New Roman" w:cs="Times New Roman"/>
          <w:b/>
          <w:color w:val="0070C0"/>
          <w:sz w:val="28"/>
          <w:szCs w:val="28"/>
        </w:rPr>
        <w:t>Марат Галеев: Жить будем лучше, но легче не станет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»</w:t>
      </w:r>
      <w:r w:rsidRPr="00607B9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[Текст] /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В. </w:t>
      </w:r>
      <w:r w:rsidRPr="00607B9B">
        <w:rPr>
          <w:rFonts w:ascii="Times New Roman" w:hAnsi="Times New Roman" w:cs="Times New Roman"/>
          <w:b/>
          <w:color w:val="0070C0"/>
          <w:sz w:val="28"/>
          <w:szCs w:val="28"/>
        </w:rPr>
        <w:t>Акифьева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607B9B">
        <w:rPr>
          <w:rFonts w:ascii="Times New Roman" w:hAnsi="Times New Roman" w:cs="Times New Roman"/>
          <w:b/>
          <w:color w:val="0070C0"/>
          <w:sz w:val="28"/>
          <w:szCs w:val="28"/>
        </w:rPr>
        <w:t>// Республика Татарстан. – 2019. - №40. – 21 марта.</w:t>
      </w:r>
    </w:p>
    <w:p w:rsidR="00607B9B" w:rsidRPr="00607B9B" w:rsidRDefault="00607B9B" w:rsidP="00607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7B9B">
        <w:rPr>
          <w:rFonts w:ascii="Times New Roman" w:hAnsi="Times New Roman" w:cs="Times New Roman"/>
          <w:sz w:val="28"/>
          <w:szCs w:val="28"/>
        </w:rPr>
        <w:t>В Стратегию развития Республики Татарстан до 2030 года внесены изменения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07B9B">
        <w:rPr>
          <w:rFonts w:ascii="Times New Roman" w:hAnsi="Times New Roman" w:cs="Times New Roman"/>
          <w:sz w:val="28"/>
          <w:szCs w:val="28"/>
        </w:rPr>
        <w:t xml:space="preserve">   За прошедшие три года со дня принятия «Стратегии социально-экономического развития Республики Татарстан до 2030 года» произошли серьёзные изменения как на международном, так и на федеральном уровнях. Всё это потребовало внесения соответствующих корректив в этот важнейший для республики документ, который задаёт вектор её движения.</w:t>
      </w:r>
    </w:p>
    <w:p w:rsidR="00607B9B" w:rsidRPr="00607B9B" w:rsidRDefault="00607B9B" w:rsidP="00607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7B9B">
        <w:rPr>
          <w:rFonts w:ascii="Times New Roman" w:hAnsi="Times New Roman" w:cs="Times New Roman"/>
          <w:sz w:val="28"/>
          <w:szCs w:val="28"/>
        </w:rPr>
        <w:t>Если Россия будет выключена из международной кооперации, то нам грозит отставание. Поэтому санкции играют более негативную роль, чем просто потеря инвестиций. В этих условиях Татарстан пытается выходить на прямые связи с ведущими мировыми компаниями. На федеральном уровне многое блокируется, а на уровне региона кое-что удаётся сделать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7B9B" w:rsidRPr="00607B9B" w:rsidRDefault="00607B9B" w:rsidP="00607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7B9B">
        <w:rPr>
          <w:rFonts w:ascii="Times New Roman" w:hAnsi="Times New Roman" w:cs="Times New Roman"/>
          <w:sz w:val="28"/>
          <w:szCs w:val="28"/>
        </w:rPr>
        <w:t>Традиционная промышленность не очень восприимчива к новым технологиям на базе цифровизации. Это мировая проблема, которая есть и у нас. Существует дефицит по целому ряду профессий. Поэтому нужно менять и вузовскую систему, которая сейчас тоже трансформируется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2F81" w:rsidRPr="002F2F81" w:rsidRDefault="002F2F81" w:rsidP="002F2F81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Сапожникова, Г. </w:t>
      </w:r>
      <w:r w:rsidRPr="002F2F81">
        <w:rPr>
          <w:rFonts w:ascii="Times New Roman" w:hAnsi="Times New Roman" w:cs="Times New Roman"/>
          <w:b/>
          <w:color w:val="0070C0"/>
          <w:sz w:val="28"/>
          <w:szCs w:val="28"/>
        </w:rPr>
        <w:t>Тайна смерти Бориса Березовского: опальный олигарх хотел жить до 100 лет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2F2F81">
        <w:rPr>
          <w:rFonts w:ascii="Times New Roman" w:hAnsi="Times New Roman" w:cs="Times New Roman"/>
          <w:b/>
          <w:color w:val="0070C0"/>
          <w:sz w:val="28"/>
          <w:szCs w:val="28"/>
        </w:rPr>
        <w:t>[Текст] /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Г. Сапожникова // Комсомольская правда. – 2019. – 12 том. </w:t>
      </w:r>
      <w:r w:rsidR="00727394">
        <w:rPr>
          <w:rFonts w:ascii="Times New Roman" w:hAnsi="Times New Roman" w:cs="Times New Roman"/>
          <w:b/>
          <w:color w:val="0070C0"/>
          <w:sz w:val="28"/>
          <w:szCs w:val="28"/>
        </w:rPr>
        <w:t>–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727394">
        <w:rPr>
          <w:rFonts w:ascii="Times New Roman" w:hAnsi="Times New Roman" w:cs="Times New Roman"/>
          <w:b/>
          <w:color w:val="0070C0"/>
          <w:sz w:val="28"/>
          <w:szCs w:val="28"/>
        </w:rPr>
        <w:t>20-27 марта.</w:t>
      </w:r>
    </w:p>
    <w:p w:rsidR="00727394" w:rsidRDefault="00727394" w:rsidP="00727394">
      <w:pPr>
        <w:spacing w:after="0" w:line="36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3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0800F72" wp14:editId="5BDD7AAE">
            <wp:simplePos x="0" y="0"/>
            <wp:positionH relativeFrom="column">
              <wp:posOffset>3598</wp:posOffset>
            </wp:positionH>
            <wp:positionV relativeFrom="paragraph">
              <wp:posOffset>3175</wp:posOffset>
            </wp:positionV>
            <wp:extent cx="2476500" cy="34099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553185673_2019-03-21_220524-mi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2F81" w:rsidRPr="00727394">
        <w:rPr>
          <w:rFonts w:ascii="Times New Roman" w:hAnsi="Times New Roman" w:cs="Times New Roman"/>
          <w:sz w:val="28"/>
          <w:szCs w:val="28"/>
        </w:rPr>
        <w:t>Друзья и эксперты до сих пор не могут разгадать тайну гибели Бориса Березовского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27394">
        <w:rPr>
          <w:rFonts w:ascii="Times New Roman" w:hAnsi="Times New Roman" w:cs="Times New Roman"/>
          <w:sz w:val="28"/>
          <w:szCs w:val="28"/>
        </w:rPr>
        <w:t>Это же надо было умудриться так прожить жизнь и так умереть, чтобы спустя шесть лет об этом спорили... Я о Березовском. Борисе Абрамовиче. Который 23 марта 2013 года добровольно ушел из жизни в поместье под Лондоном. Или не ушел? Или его ушли?</w:t>
      </w:r>
    </w:p>
    <w:p w:rsidR="00727394" w:rsidRDefault="00727394" w:rsidP="00727394">
      <w:pPr>
        <w:spacing w:after="0" w:line="36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394">
        <w:rPr>
          <w:rFonts w:ascii="Times New Roman" w:hAnsi="Times New Roman" w:cs="Times New Roman"/>
          <w:sz w:val="28"/>
          <w:szCs w:val="28"/>
        </w:rPr>
        <w:t>Новость о смерти Березовского ше</w:t>
      </w:r>
      <w:r>
        <w:rPr>
          <w:rFonts w:ascii="Times New Roman" w:hAnsi="Times New Roman" w:cs="Times New Roman"/>
          <w:sz w:val="28"/>
          <w:szCs w:val="28"/>
        </w:rPr>
        <w:t>сть лет назад всех оглушила.</w:t>
      </w:r>
    </w:p>
    <w:p w:rsidR="00727394" w:rsidRPr="00727394" w:rsidRDefault="00727394" w:rsidP="007273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394">
        <w:rPr>
          <w:rFonts w:ascii="Times New Roman" w:hAnsi="Times New Roman" w:cs="Times New Roman"/>
          <w:sz w:val="28"/>
          <w:szCs w:val="28"/>
        </w:rPr>
        <w:t xml:space="preserve">Никто не поверил, я тоже. Меня потом много раз спрашивали: видела ли я хоть какие-то </w:t>
      </w:r>
      <w:r>
        <w:rPr>
          <w:rFonts w:ascii="Times New Roman" w:hAnsi="Times New Roman" w:cs="Times New Roman"/>
          <w:sz w:val="28"/>
          <w:szCs w:val="28"/>
        </w:rPr>
        <w:t xml:space="preserve">знаки, которые предсказывали был </w:t>
      </w:r>
      <w:r w:rsidRPr="00727394">
        <w:rPr>
          <w:rFonts w:ascii="Times New Roman" w:hAnsi="Times New Roman" w:cs="Times New Roman"/>
          <w:sz w:val="28"/>
          <w:szCs w:val="28"/>
        </w:rPr>
        <w:t>скорый его уход? «Нет, нет и нет!» - твердо отвечала я. Через 6 месяцев после его смерти Высокий суд Лондона огласил данные о том, что к моменту смерти Борис Березовский являлся банкротом с долгами на сумму 309 миллионов фунтов.</w:t>
      </w:r>
    </w:p>
    <w:p w:rsidR="00727394" w:rsidRPr="00727394" w:rsidRDefault="00727394" w:rsidP="007273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394">
        <w:rPr>
          <w:rFonts w:ascii="Times New Roman" w:hAnsi="Times New Roman" w:cs="Times New Roman"/>
          <w:sz w:val="28"/>
          <w:szCs w:val="28"/>
        </w:rPr>
        <w:t>Версия с тропическим островом, пластической операцией и заблаговременно спрятанными капиталами нравилась всем явно больше.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394">
        <w:rPr>
          <w:rFonts w:ascii="Times New Roman" w:hAnsi="Times New Roman" w:cs="Times New Roman"/>
          <w:sz w:val="28"/>
          <w:szCs w:val="28"/>
        </w:rPr>
        <w:t>Но похоже, что правда зарыта гораздо ближе: просто человек устал сраж</w:t>
      </w:r>
      <w:r>
        <w:rPr>
          <w:rFonts w:ascii="Times New Roman" w:hAnsi="Times New Roman" w:cs="Times New Roman"/>
          <w:sz w:val="28"/>
          <w:szCs w:val="28"/>
        </w:rPr>
        <w:t xml:space="preserve">аться с ветряными мельницами. </w:t>
      </w:r>
      <w:r w:rsidRPr="00727394">
        <w:rPr>
          <w:rFonts w:ascii="Times New Roman" w:hAnsi="Times New Roman" w:cs="Times New Roman"/>
          <w:sz w:val="28"/>
          <w:szCs w:val="28"/>
        </w:rPr>
        <w:t>Устал, и это многое объясняет...</w:t>
      </w:r>
    </w:p>
    <w:p w:rsidR="000756F0" w:rsidRDefault="000756F0" w:rsidP="00607B9B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1855BA" w:rsidRDefault="001855BA" w:rsidP="00607B9B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1855BA" w:rsidRDefault="001855BA" w:rsidP="001855BA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Ермолаева, И. </w:t>
      </w:r>
      <w:r w:rsidRPr="001855BA">
        <w:rPr>
          <w:rFonts w:ascii="Times New Roman" w:hAnsi="Times New Roman" w:cs="Times New Roman"/>
          <w:b/>
          <w:color w:val="0070C0"/>
          <w:sz w:val="28"/>
          <w:szCs w:val="28"/>
        </w:rPr>
        <w:t>Стили воспитания детей в семье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1855BA">
        <w:rPr>
          <w:rFonts w:ascii="Times New Roman" w:hAnsi="Times New Roman" w:cs="Times New Roman"/>
          <w:b/>
          <w:color w:val="0070C0"/>
          <w:sz w:val="28"/>
          <w:szCs w:val="28"/>
        </w:rPr>
        <w:t>[Текст] /</w:t>
      </w:r>
      <w:r w:rsidR="00335B3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И. Ермолаева </w:t>
      </w:r>
      <w:r w:rsidR="00335B3F" w:rsidRPr="00335B3F">
        <w:rPr>
          <w:rFonts w:ascii="Times New Roman" w:hAnsi="Times New Roman" w:cs="Times New Roman"/>
          <w:b/>
          <w:color w:val="0070C0"/>
          <w:sz w:val="28"/>
          <w:szCs w:val="28"/>
        </w:rPr>
        <w:t>// Комсомольская правда. – 2019. – 12 том. – 20-27 марта.</w:t>
      </w:r>
    </w:p>
    <w:p w:rsidR="00335B3F" w:rsidRDefault="00335B3F" w:rsidP="00335B3F">
      <w:pPr>
        <w:spacing w:after="0" w:line="36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0">
            <wp:simplePos x="0" y="0"/>
            <wp:positionH relativeFrom="margin">
              <wp:align>left</wp:align>
            </wp:positionH>
            <wp:positionV relativeFrom="page">
              <wp:posOffset>1532255</wp:posOffset>
            </wp:positionV>
            <wp:extent cx="2512800" cy="1728000"/>
            <wp:effectExtent l="0" t="0" r="1905" b="571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ild6663-3836-4037-b036-653635376637__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800" cy="172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5B3F">
        <w:rPr>
          <w:rFonts w:ascii="Times New Roman" w:hAnsi="Times New Roman" w:cs="Times New Roman"/>
          <w:sz w:val="28"/>
          <w:szCs w:val="28"/>
        </w:rPr>
        <w:t>Кажется, в каждой избушке свои погремушки. И все родители воспитывают детей как могут. В зависимости от того, как их самих растили, какой у них темперамент, окружение, уровень культуры. Но по большому счету существует только четыре типа родителей.</w:t>
      </w:r>
    </w:p>
    <w:p w:rsidR="00335B3F" w:rsidRDefault="00335B3F" w:rsidP="00335B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B3F">
        <w:rPr>
          <w:rFonts w:ascii="Times New Roman" w:hAnsi="Times New Roman" w:cs="Times New Roman"/>
          <w:sz w:val="28"/>
          <w:szCs w:val="28"/>
        </w:rPr>
        <w:t>Психологи выделяют такие группы: авторитарные, либеральные, замотанные и поддерживающие. От того, какой стиль воспитания принят в семье, зависит развитие ребенка.</w:t>
      </w:r>
    </w:p>
    <w:p w:rsidR="00335B3F" w:rsidRPr="00335B3F" w:rsidRDefault="00335B3F" w:rsidP="00335B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авторитарной семье вырастают бунтари, а в либеральной – двоечники. Узнай, какой ты родитель, и поймешь, кто получится из твоего ребенка.</w:t>
      </w:r>
    </w:p>
    <w:sectPr w:rsidR="00335B3F" w:rsidRPr="00335B3F" w:rsidSect="009B4A9E">
      <w:footerReference w:type="default" r:id="rId10"/>
      <w:pgSz w:w="11906" w:h="16838"/>
      <w:pgMar w:top="1134" w:right="850" w:bottom="1134" w:left="1701" w:header="142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B44" w:rsidRDefault="00EA0B44" w:rsidP="009B4A9E">
      <w:pPr>
        <w:spacing w:after="0" w:line="240" w:lineRule="auto"/>
      </w:pPr>
      <w:r>
        <w:separator/>
      </w:r>
    </w:p>
  </w:endnote>
  <w:endnote w:type="continuationSeparator" w:id="0">
    <w:p w:rsidR="00EA0B44" w:rsidRDefault="00EA0B44" w:rsidP="009B4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03079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9B4A9E" w:rsidRPr="009B4A9E" w:rsidRDefault="009B4A9E">
        <w:pPr>
          <w:pStyle w:val="a5"/>
          <w:jc w:val="right"/>
          <w:rPr>
            <w:rFonts w:ascii="Times New Roman" w:hAnsi="Times New Roman" w:cs="Times New Roman"/>
            <w:sz w:val="16"/>
            <w:szCs w:val="16"/>
          </w:rPr>
        </w:pPr>
        <w:r w:rsidRPr="009B4A9E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9B4A9E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9B4A9E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EA0B44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9B4A9E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9B4A9E" w:rsidRDefault="009B4A9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B44" w:rsidRDefault="00EA0B44" w:rsidP="009B4A9E">
      <w:pPr>
        <w:spacing w:after="0" w:line="240" w:lineRule="auto"/>
      </w:pPr>
      <w:r>
        <w:separator/>
      </w:r>
    </w:p>
  </w:footnote>
  <w:footnote w:type="continuationSeparator" w:id="0">
    <w:p w:rsidR="00EA0B44" w:rsidRDefault="00EA0B44" w:rsidP="009B4A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850"/>
    <w:rsid w:val="000756F0"/>
    <w:rsid w:val="001855BA"/>
    <w:rsid w:val="002F2F81"/>
    <w:rsid w:val="00317F8A"/>
    <w:rsid w:val="00335B3F"/>
    <w:rsid w:val="00607B9B"/>
    <w:rsid w:val="00727394"/>
    <w:rsid w:val="00763850"/>
    <w:rsid w:val="00780A29"/>
    <w:rsid w:val="00800B79"/>
    <w:rsid w:val="00916871"/>
    <w:rsid w:val="0097289D"/>
    <w:rsid w:val="009A0115"/>
    <w:rsid w:val="009B4A9E"/>
    <w:rsid w:val="009C1A89"/>
    <w:rsid w:val="00C40B1F"/>
    <w:rsid w:val="00EA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34779-A4E8-4C17-B407-5AC4E29C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4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4A9E"/>
  </w:style>
  <w:style w:type="paragraph" w:styleId="a5">
    <w:name w:val="footer"/>
    <w:basedOn w:val="a"/>
    <w:link w:val="a6"/>
    <w:uiPriority w:val="99"/>
    <w:unhideWhenUsed/>
    <w:rsid w:val="009B4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4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1910</Words>
  <Characters>10890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Пользователь</cp:lastModifiedBy>
  <cp:revision>9</cp:revision>
  <dcterms:created xsi:type="dcterms:W3CDTF">2019-03-22T12:17:00Z</dcterms:created>
  <dcterms:modified xsi:type="dcterms:W3CDTF">2019-03-23T12:48:00Z</dcterms:modified>
</cp:coreProperties>
</file>